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222831"/>
          <w:spacing w:val="20"/>
          <w:sz w:val="42"/>
          <w:szCs w:val="42"/>
        </w:rPr>
        <w:t xml:space="preserve">MARQUISE PULLEN</w:t>
      </w:r>
    </w:p>
    <w:p>
      <w:pPr>
        <w:spacing w:after="40"/>
      </w:pPr>
      <w:r>
        <w:rPr>
          <w:b/>
          <w:bCs/>
          <w:color w:val="A8611F"/>
          <w:sz w:val="19"/>
          <w:szCs w:val="19"/>
        </w:rPr>
        <w:t xml:space="preserve">Senior Software Engineer · Product Owner / Tech Lead · Adjunct Faculty</w:t>
      </w:r>
    </w:p>
    <w:p>
      <w:pPr>
        <w:spacing w:after="140"/>
      </w:pPr>
      <w:r>
        <w:rPr>
          <w:color w:val="44515F"/>
          <w:sz w:val="17"/>
          <w:szCs w:val="17"/>
        </w:rPr>
        <w:t xml:space="preserve">Mount Holly, NJ   ·   609.346.1499   ·   marquise.pullen@gmail.com   ·   linkedin.com/in/marquisepullen   ·   gitlab.com/pullenm</w:t>
      </w:r>
    </w:p>
    <w:p>
      <w:pPr>
        <w:pBdr>
          <w:bottom w:val="single" w:color="D9D3C6" w:sz="6" w:space="2"/>
        </w:pBdr>
        <w:spacing w:after="90" w:before="260"/>
      </w:pPr>
      <w:r>
        <w:rPr>
          <w:b/>
          <w:bCs/>
          <w:color w:val="222831"/>
          <w:spacing w:val="24"/>
          <w:sz w:val="19"/>
          <w:szCs w:val="19"/>
        </w:rPr>
        <w:t xml:space="preserve">SUMMARY</w:t>
      </w:r>
    </w:p>
    <w:p>
      <w:r>
        <w:rPr>
          <w:sz w:val="19"/>
          <w:szCs w:val="19"/>
        </w:rPr>
        <w:t xml:space="preserve">Senior software engineer, product owner, and platform technical lead with 16+ years of systems engineering and 9+ years teaching computer science at the university level. Owns the product roadmap and platform direction for a 770+ user educational cybersecurity platform at Lockheed Martin, and teaches the same modern stack — web, cloud, and DevOps — at Rowan University and Rowan College at Burlington County.</w:t>
      </w:r>
    </w:p>
    <w:p>
      <w:pPr>
        <w:pBdr>
          <w:bottom w:val="single" w:color="D9D3C6" w:sz="6" w:space="2"/>
        </w:pBdr>
        <w:spacing w:after="90" w:before="260"/>
      </w:pPr>
      <w:r>
        <w:rPr>
          <w:b/>
          <w:bCs/>
          <w:color w:val="222831"/>
          <w:spacing w:val="24"/>
          <w:sz w:val="19"/>
          <w:szCs w:val="19"/>
        </w:rPr>
        <w:t xml:space="preserve">PROFESSIONAL EXPERIENCE</w:t>
      </w:r>
    </w:p>
    <w:p>
      <w:pPr>
        <w:tabs>
          <w:tab w:val="right" w:pos="9360"/>
        </w:tabs>
        <w:spacing w:after="20" w:before="160"/>
      </w:pPr>
      <w:r>
        <w:rPr>
          <w:b/>
          <w:bCs/>
          <w:color w:val="222831"/>
          <w:sz w:val="21"/>
          <w:szCs w:val="21"/>
        </w:rPr>
        <w:t xml:space="preserve">Product Owner · Technical Lead</w:t>
      </w:r>
      <w:r>
        <w:rPr>
          <w:b/>
          <w:bCs/>
          <w:color w:val="44515F"/>
          <w:sz w:val="17"/>
          <w:szCs w:val="17"/>
        </w:rPr>
        <w:t xml:space="preserve">	Jul 2026 – Present</w:t>
      </w:r>
    </w:p>
    <w:p>
      <w:pPr>
        <w:spacing w:after="60"/>
      </w:pPr>
      <w:r>
        <w:rPr>
          <w:i/>
          <w:iCs/>
          <w:color w:val="44515F"/>
          <w:sz w:val="18"/>
          <w:szCs w:val="18"/>
        </w:rPr>
        <w:t xml:space="preserve">Lockheed Martin — CyberQuest Academy · Remote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19"/>
          <w:szCs w:val="19"/>
        </w:rPr>
        <w:t xml:space="preserve">Selected as Product Owner for the CyberQuest Academy platform while continuing as Technical Lead — accountable for product roadmap, feature prioritization, and cross-functional alignment across engineering, program leadership, and teacher/mentor stakeholders.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19"/>
          <w:szCs w:val="19"/>
        </w:rPr>
        <w:t xml:space="preserve">Identified that the team was operating without visibility into challenge performance, then defined and built a challenge-analytics capability — solve/fail counts, success rate, and user-to-challenge engagement — giving the team data-driven insight into content quality for the first time.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19"/>
          <w:szCs w:val="19"/>
        </w:rPr>
        <w:t xml:space="preserve">Built an internal admin portal surfacing those challenge insights with search and sort, balancing strategic reporting needs against developer-facing usability and workflow efficiency.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19"/>
          <w:szCs w:val="19"/>
        </w:rPr>
        <w:t xml:space="preserve">Leading the team's adoption of AI to enhance the platform, beginning with AI-assisted challenge development.</w:t>
      </w:r>
    </w:p>
    <w:p>
      <w:pPr>
        <w:tabs>
          <w:tab w:val="right" w:pos="9360"/>
        </w:tabs>
        <w:spacing w:after="20" w:before="160"/>
      </w:pPr>
      <w:r>
        <w:rPr>
          <w:b/>
          <w:bCs/>
          <w:color w:val="222831"/>
          <w:sz w:val="21"/>
          <w:szCs w:val="21"/>
        </w:rPr>
        <w:t xml:space="preserve">Technical Lead</w:t>
      </w:r>
      <w:r>
        <w:rPr>
          <w:b/>
          <w:bCs/>
          <w:color w:val="44515F"/>
          <w:sz w:val="17"/>
          <w:szCs w:val="17"/>
        </w:rPr>
        <w:t xml:space="preserve">	Dec 2025 – Jul 2026</w:t>
      </w:r>
    </w:p>
    <w:p>
      <w:pPr>
        <w:spacing w:after="60"/>
      </w:pPr>
      <w:r>
        <w:rPr>
          <w:i/>
          <w:iCs/>
          <w:color w:val="44515F"/>
          <w:sz w:val="18"/>
          <w:szCs w:val="18"/>
        </w:rPr>
        <w:t xml:space="preserve">Lockheed Martin — CyberQuest Academy · Remote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19"/>
          <w:szCs w:val="19"/>
        </w:rPr>
        <w:t xml:space="preserve">Provided technical direction and continuity for the CyberQuest Academy platform, leading architectural discussions and design decisions across the engineering team.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19"/>
          <w:szCs w:val="19"/>
        </w:rPr>
        <w:t xml:space="preserve">Contributed to shaping the 2026 program-year roadmap, aligning platform capabilities with program goals and teacher/mentor feedback.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19"/>
          <w:szCs w:val="19"/>
        </w:rPr>
        <w:t xml:space="preserve">Introduced automated testing to the platform for the first time — establishing unit and end-to-end coverage across a codebase that had none and enforcing it as a CI/CD quality gate.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19"/>
          <w:szCs w:val="19"/>
        </w:rPr>
        <w:t xml:space="preserve">Established automated accessibility testing (static linting, component tests, rendered audits) in CI/CD, raising WCAG 2.1 AA to an enforced quality standard.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19"/>
          <w:szCs w:val="19"/>
        </w:rPr>
        <w:t xml:space="preserve">Back-filled Product Owner responsibilities after the incumbent Product Owner transitioned off the program, sustaining roadmap and stakeholder continuity ahead of being selected into the role.</w:t>
      </w:r>
    </w:p>
    <w:p>
      <w:pPr>
        <w:tabs>
          <w:tab w:val="right" w:pos="9360"/>
        </w:tabs>
        <w:spacing w:after="20" w:before="160"/>
      </w:pPr>
      <w:r>
        <w:rPr>
          <w:b/>
          <w:bCs/>
          <w:color w:val="222831"/>
          <w:sz w:val="21"/>
          <w:szCs w:val="21"/>
        </w:rPr>
        <w:t xml:space="preserve">Senior Software Engineer</w:t>
      </w:r>
      <w:r>
        <w:rPr>
          <w:b/>
          <w:bCs/>
          <w:color w:val="44515F"/>
          <w:sz w:val="17"/>
          <w:szCs w:val="17"/>
        </w:rPr>
        <w:t xml:space="preserve">	Nov 2022 – Present</w:t>
      </w:r>
    </w:p>
    <w:p>
      <w:pPr>
        <w:spacing w:after="60"/>
      </w:pPr>
      <w:r>
        <w:rPr>
          <w:i/>
          <w:iCs/>
          <w:color w:val="44515F"/>
          <w:sz w:val="18"/>
          <w:szCs w:val="18"/>
        </w:rPr>
        <w:t xml:space="preserve">Lockheed Martin — Display Department · Mount Laurel, NJ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19"/>
          <w:szCs w:val="19"/>
        </w:rPr>
        <w:t xml:space="preserve">Maintain and enhance mission-critical Swing-based GUIs within a 3M+ line C++ / 450K+ line Java codebase, delivering fixes and UX improvements tied to incentive-award criteria.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19"/>
          <w:szCs w:val="19"/>
        </w:rPr>
        <w:t xml:space="preserve">Expand JUnit and Robot Framework test suites in GitLab CI/CD, reducing regression risk and improving requirement compliance across 35 product baselines.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19"/>
          <w:szCs w:val="19"/>
        </w:rPr>
        <w:t xml:space="preserve">Coordinate real-time distributed systems using DDS messaging; diagnosed and resolved a post-restart message-loss defect through middleware QoS durability configuration.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19"/>
          <w:szCs w:val="19"/>
        </w:rPr>
        <w:t xml:space="preserve">Serve as back-fill Scrum Master for the Spartan Agile team and provide code-review feedback to uphold quality and Model-Based Engineering standards.</w:t>
      </w:r>
    </w:p>
    <w:p>
      <w:pPr>
        <w:tabs>
          <w:tab w:val="right" w:pos="9360"/>
        </w:tabs>
        <w:spacing w:after="20" w:before="160"/>
      </w:pPr>
      <w:r>
        <w:rPr>
          <w:b/>
          <w:bCs/>
          <w:color w:val="222831"/>
          <w:sz w:val="21"/>
          <w:szCs w:val="21"/>
        </w:rPr>
        <w:t xml:space="preserve">Senior Full-Stack Engineer</w:t>
      </w:r>
      <w:r>
        <w:rPr>
          <w:b/>
          <w:bCs/>
          <w:color w:val="44515F"/>
          <w:sz w:val="17"/>
          <w:szCs w:val="17"/>
        </w:rPr>
        <w:t xml:space="preserve">	Nov 2024 – Nov 2025</w:t>
      </w:r>
    </w:p>
    <w:p>
      <w:pPr>
        <w:spacing w:after="60"/>
      </w:pPr>
      <w:r>
        <w:rPr>
          <w:i/>
          <w:iCs/>
          <w:color w:val="44515F"/>
          <w:sz w:val="18"/>
          <w:szCs w:val="18"/>
        </w:rPr>
        <w:t xml:space="preserve">Lockheed Martin — CyberQuest Academy · Remote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19"/>
          <w:szCs w:val="19"/>
        </w:rPr>
        <w:t xml:space="preserve">Led delivery and sustainment of production features for a 770+ user education platform using Next.js/React and Tailwind CSS with GitLab CI/CD and Docker.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19"/>
          <w:szCs w:val="19"/>
        </w:rPr>
        <w:t xml:space="preserve">Owned an end-to-end classroom registration capability — UX, service contracts, and GraphQL/PostgreSQL persistence — supporting onboarding of 100+ classrooms.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19"/>
          <w:szCs w:val="19"/>
        </w:rPr>
        <w:t xml:space="preserve">Engineered a multi-stage GitLab CI/CD pipeline (static analysis → test → build → deploy) with templated jobs and quality gates surfaced in the GitLab UI.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19"/>
          <w:szCs w:val="19"/>
        </w:rPr>
        <w:t xml:space="preserve">Deployed on AWS ECS Fargate behind an Application Load Balancer, with automated ephemeral per-MR review environments that provision and tear down their own infrastructure.</w:t>
      </w:r>
    </w:p>
    <w:p>
      <w:pPr>
        <w:tabs>
          <w:tab w:val="right" w:pos="9360"/>
        </w:tabs>
        <w:spacing w:after="20" w:before="160"/>
      </w:pPr>
      <w:r>
        <w:rPr>
          <w:b/>
          <w:bCs/>
          <w:color w:val="222831"/>
          <w:sz w:val="21"/>
          <w:szCs w:val="21"/>
        </w:rPr>
        <w:t xml:space="preserve">Adjunct Professor, Computer Science</w:t>
      </w:r>
      <w:r>
        <w:rPr>
          <w:b/>
          <w:bCs/>
          <w:color w:val="44515F"/>
          <w:sz w:val="17"/>
          <w:szCs w:val="17"/>
        </w:rPr>
        <w:t xml:space="preserve">	Sep 2018 – Present</w:t>
      </w:r>
    </w:p>
    <w:p>
      <w:pPr>
        <w:spacing w:after="60"/>
      </w:pPr>
      <w:r>
        <w:rPr>
          <w:i/>
          <w:iCs/>
          <w:color w:val="44515F"/>
          <w:sz w:val="18"/>
          <w:szCs w:val="18"/>
        </w:rPr>
        <w:t xml:space="preserve">Rowan University · Glassboro, NJ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19"/>
          <w:szCs w:val="19"/>
        </w:rPr>
        <w:t xml:space="preserve">Teach Web Programming and Computer Science &amp; Programming (CS 04103) — production-grade web development (HTML, CSS, JavaScript/TypeScript, React, Node.js, REST) via a multi-sprint MERN-stack capstone, plus core CS fundamentals.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19"/>
          <w:szCs w:val="19"/>
        </w:rPr>
        <w:t xml:space="preserve">Instruct 69 students per year across multiple sections with a pass rate of 86%; designed the Web Programming curriculum from scratch.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19"/>
          <w:szCs w:val="19"/>
        </w:rPr>
        <w:t xml:space="preserve">Built a teaching demonstration project using agentic AI (Ollama, ChromaDB, FastAPI, RAG) to introduce students to practical AI engineering.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19"/>
          <w:szCs w:val="19"/>
        </w:rPr>
        <w:t xml:space="preserve">Built an LLM-based grading assistant and Model Context Protocol (MCP) server (39 tools, a review web app, OAuth 2.1) for CS 04103, to speed grading and give class-level performance awareness; the AI proposes each score and each is approved by hand before posting.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19"/>
          <w:szCs w:val="19"/>
        </w:rPr>
        <w:t xml:space="preserve">Cut the grading window for a two-section, 45-student midterm by 65–76% (about 45 hours to 11–16), reduced hand-entered grades by 98% (91 to 2), and approved 98.5% of 270 AI-scored answers unchanged.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19"/>
          <w:szCs w:val="19"/>
        </w:rPr>
        <w:t xml:space="preserve">Produce recorded lectures and short tutorial videos (OBS Studio) for Computer Science &amp; Programming, Introduction to Web Development, and Web Programming, shared with students through Canvas.</w:t>
      </w:r>
    </w:p>
    <w:p>
      <w:pPr>
        <w:tabs>
          <w:tab w:val="right" w:pos="9360"/>
        </w:tabs>
        <w:spacing w:after="20" w:before="160"/>
      </w:pPr>
      <w:r>
        <w:rPr>
          <w:b/>
          <w:bCs/>
          <w:color w:val="222831"/>
          <w:sz w:val="21"/>
          <w:szCs w:val="21"/>
        </w:rPr>
        <w:t xml:space="preserve">Senior Adjunct Professor, Computer Science</w:t>
      </w:r>
      <w:r>
        <w:rPr>
          <w:b/>
          <w:bCs/>
          <w:color w:val="44515F"/>
          <w:sz w:val="17"/>
          <w:szCs w:val="17"/>
        </w:rPr>
        <w:t xml:space="preserve">	Jan 2017 – Present</w:t>
      </w:r>
    </w:p>
    <w:p>
      <w:pPr>
        <w:spacing w:after="60"/>
      </w:pPr>
      <w:r>
        <w:rPr>
          <w:i/>
          <w:iCs/>
          <w:color w:val="44515F"/>
          <w:sz w:val="18"/>
          <w:szCs w:val="18"/>
        </w:rPr>
        <w:t xml:space="preserve">Rowan College at Burlington County · Mount Laurel, NJ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19"/>
          <w:szCs w:val="19"/>
        </w:rPr>
        <w:t xml:space="preserve">Teach Introduction to Computer Science I &amp; II in C++ — fundamentals, data structures, and object-oriented programming.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19"/>
          <w:szCs w:val="19"/>
        </w:rPr>
        <w:t xml:space="preserve">Designed and launched the college's first Cloud Computing and DevOps course sequence, building curriculum, lab infrastructure, and assessments from the ground up.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19"/>
          <w:szCs w:val="19"/>
        </w:rPr>
        <w:t xml:space="preserve">Structured the curriculum around real production tooling: GitLab CI/CD, Terraform, Ansible, GCP, microservices, and observability (Prometheus, Grafana, Loki).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19"/>
          <w:szCs w:val="19"/>
        </w:rPr>
        <w:t xml:space="preserve">Teach Advanced Cloud Systems &amp; DevOps (CIS-160), part of that sequence, since Spring 2025 (3 terms).</w:t>
      </w:r>
    </w:p>
    <w:p>
      <w:pPr>
        <w:tabs>
          <w:tab w:val="right" w:pos="9360"/>
        </w:tabs>
        <w:spacing w:after="20" w:before="160"/>
      </w:pPr>
      <w:r>
        <w:rPr>
          <w:b/>
          <w:bCs/>
          <w:color w:val="222831"/>
          <w:sz w:val="21"/>
          <w:szCs w:val="21"/>
        </w:rPr>
        <w:t xml:space="preserve">Doctoral Teaching &amp; Research Fellow</w:t>
      </w:r>
      <w:r>
        <w:rPr>
          <w:b/>
          <w:bCs/>
          <w:color w:val="44515F"/>
          <w:sz w:val="17"/>
          <w:szCs w:val="17"/>
        </w:rPr>
        <w:t xml:space="preserve">	Jan 2017 – Jun 2023</w:t>
      </w:r>
    </w:p>
    <w:p>
      <w:pPr>
        <w:spacing w:after="60"/>
      </w:pPr>
      <w:r>
        <w:rPr>
          <w:i/>
          <w:iCs/>
          <w:color w:val="44515F"/>
          <w:sz w:val="18"/>
          <w:szCs w:val="18"/>
        </w:rPr>
        <w:t xml:space="preserve">Drexel University · Philadelphia, PA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19"/>
          <w:szCs w:val="19"/>
        </w:rPr>
        <w:t xml:space="preserve">Instructor/TA across 13 undergraduate engineering course offerings — taught Computation Lab II (MATLAB programming for engineers) as instructor, and Senior Design I–III, Renewable Energy, and Solar Energy Engineering as Teaching Fellow; supported the first fully-remote engineering course pre-COVID.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19"/>
          <w:szCs w:val="19"/>
        </w:rPr>
        <w:t xml:space="preserve">Helped modernize the ECE senior design program (30+ teams/year), critiquing technical presentations, proposals, and demonstrations to improve project readiness.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19"/>
          <w:szCs w:val="19"/>
        </w:rPr>
        <w:t xml:space="preserve">Conducted graduate research in the Nanophotonics+ Lab on electro-optical switchable filters, publishing two peer-reviewed papers.</w:t>
      </w:r>
    </w:p>
    <w:p>
      <w:pPr>
        <w:tabs>
          <w:tab w:val="right" w:pos="9360"/>
        </w:tabs>
        <w:spacing w:after="20" w:before="160"/>
      </w:pPr>
      <w:r>
        <w:rPr>
          <w:b/>
          <w:bCs/>
          <w:color w:val="222831"/>
          <w:sz w:val="21"/>
          <w:szCs w:val="21"/>
        </w:rPr>
        <w:t xml:space="preserve">Electrical Engineer</w:t>
      </w:r>
      <w:r>
        <w:rPr>
          <w:b/>
          <w:bCs/>
          <w:color w:val="44515F"/>
          <w:sz w:val="17"/>
          <w:szCs w:val="17"/>
        </w:rPr>
        <w:t xml:space="preserve">	Apr 2009 – Nov 2022</w:t>
      </w:r>
    </w:p>
    <w:p>
      <w:pPr>
        <w:spacing w:after="60"/>
      </w:pPr>
      <w:r>
        <w:rPr>
          <w:i/>
          <w:iCs/>
          <w:color w:val="44515F"/>
          <w:sz w:val="18"/>
          <w:szCs w:val="18"/>
        </w:rPr>
        <w:t xml:space="preserve">U.S. Army DEVCOM C5ISR Center (formerly CERDEC) — PNT Division · Lakehurst, NJ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19"/>
          <w:szCs w:val="19"/>
        </w:rPr>
        <w:t xml:space="preserve">Secured $230K in ILIR (In-house Laboratory Independent Research) funding over three years by pitching and leading two in-house R&amp;D projects; presented an Army RDEC research review to the National Academies of Sciences (Nov 2018).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19"/>
          <w:szCs w:val="19"/>
        </w:rPr>
        <w:t xml:space="preserve">Built real-time geospatial overlays fusing INS/IMU and Doppler streams (processed at 60 Hz), converting navigation data to KML for visualization in Google Earth to surface sensor outages during live Blackhawk flight tests.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19"/>
          <w:szCs w:val="19"/>
        </w:rPr>
        <w:t xml:space="preserve">Researched vision-navigation techniques for GPS-denied environments; led multi-year defense projects and oversaw test-platform design for PNT field testing.</w:t>
      </w:r>
    </w:p>
    <w:p>
      <w:pPr>
        <w:tabs>
          <w:tab w:val="right" w:pos="9360"/>
        </w:tabs>
        <w:spacing w:after="20" w:before="160"/>
      </w:pPr>
      <w:r>
        <w:rPr>
          <w:b/>
          <w:bCs/>
          <w:color w:val="222831"/>
          <w:sz w:val="21"/>
          <w:szCs w:val="21"/>
        </w:rPr>
        <w:t xml:space="preserve">Vehicle Integration Lead</w:t>
      </w:r>
      <w:r>
        <w:rPr>
          <w:b/>
          <w:bCs/>
          <w:color w:val="44515F"/>
          <w:sz w:val="17"/>
          <w:szCs w:val="17"/>
        </w:rPr>
        <w:t xml:space="preserve">	Nov 2006 – Apr 2009</w:t>
      </w:r>
    </w:p>
    <w:p>
      <w:pPr>
        <w:spacing w:after="60"/>
      </w:pPr>
      <w:r>
        <w:rPr>
          <w:i/>
          <w:iCs/>
          <w:color w:val="44515F"/>
          <w:sz w:val="18"/>
          <w:szCs w:val="18"/>
        </w:rPr>
        <w:t xml:space="preserve">U.S. Army CERDEC — C4ISR On-The-Move · Fort Dix, NJ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19"/>
          <w:szCs w:val="19"/>
        </w:rPr>
        <w:t xml:space="preserve">Matrixed from the PNT Branch to the Fort Dix C4ISR On-The-Move team in Nov 2006; learned vehicle integration in the first year and was named Vehicle Integration Lead in 2007.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19"/>
          <w:szCs w:val="19"/>
        </w:rPr>
        <w:t xml:space="preserve">Supervised a team of five configuring test vehicles for annual field experiments with soldiers.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19"/>
          <w:szCs w:val="19"/>
        </w:rPr>
        <w:t xml:space="preserve">Led installation, testing, and troubleshooting of all GPS, communications, and computer systems across 30 ground and 2 air test vehicles, including vehicle power distribution, power-budget analysis, and battery/inverter upgrades for high-draw payloads.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19"/>
          <w:szCs w:val="19"/>
        </w:rPr>
        <w:t xml:space="preserve">Managed and allocated all hardware and vehicle assets for the annual field test event.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19"/>
          <w:szCs w:val="19"/>
        </w:rPr>
        <w:t xml:space="preserve">Briefed upper management on integration progress and test readiness.</w:t>
      </w:r>
    </w:p>
    <w:p>
      <w:pPr>
        <w:pBdr>
          <w:bottom w:val="single" w:color="D9D3C6" w:sz="6" w:space="2"/>
        </w:pBdr>
        <w:spacing w:after="90" w:before="260"/>
      </w:pPr>
      <w:r>
        <w:rPr>
          <w:b/>
          <w:bCs/>
          <w:color w:val="222831"/>
          <w:spacing w:val="24"/>
          <w:sz w:val="19"/>
          <w:szCs w:val="19"/>
        </w:rPr>
        <w:t xml:space="preserve">TECHNICAL SKILLS</w:t>
      </w:r>
    </w:p>
    <w:p>
      <w:pPr>
        <w:spacing w:after="50"/>
      </w:pPr>
      <w:r>
        <w:rPr>
          <w:b/>
          <w:bCs/>
          <w:color w:val="222831"/>
          <w:sz w:val="18"/>
          <w:szCs w:val="18"/>
        </w:rPr>
        <w:t xml:space="preserve">Cloud &amp; Infrastructure:  </w:t>
      </w:r>
      <w:r>
        <w:rPr>
          <w:sz w:val="18"/>
          <w:szCs w:val="18"/>
        </w:rPr>
        <w:t xml:space="preserve">AWS (ECS Fargate, ALB, ECR), GCP, Docker, Kubernetes, Terraform, Ansible, Vagrant</w:t>
      </w:r>
    </w:p>
    <w:p>
      <w:pPr>
        <w:spacing w:after="50"/>
      </w:pPr>
      <w:r>
        <w:rPr>
          <w:b/>
          <w:bCs/>
          <w:color w:val="222831"/>
          <w:sz w:val="18"/>
          <w:szCs w:val="18"/>
        </w:rPr>
        <w:t xml:space="preserve">CI/CD &amp; DevOps:  </w:t>
      </w:r>
      <w:r>
        <w:rPr>
          <w:sz w:val="18"/>
          <w:szCs w:val="18"/>
        </w:rPr>
        <w:t xml:space="preserve">GitLab CI/CD, Helm, YAML, Infrastructure-as-Code, automated testing, deployment pipelines</w:t>
      </w:r>
    </w:p>
    <w:p>
      <w:pPr>
        <w:spacing w:after="50"/>
      </w:pPr>
      <w:r>
        <w:rPr>
          <w:b/>
          <w:bCs/>
          <w:color w:val="222831"/>
          <w:sz w:val="18"/>
          <w:szCs w:val="18"/>
        </w:rPr>
        <w:t xml:space="preserve">Product &amp; Roadmap:  </w:t>
      </w:r>
      <w:r>
        <w:rPr>
          <w:sz w:val="18"/>
          <w:szCs w:val="18"/>
        </w:rPr>
        <w:t xml:space="preserve">Backlog prioritization, feature roadmap ownership, cross-functional stakeholder alignment, product analytics</w:t>
      </w:r>
    </w:p>
    <w:p>
      <w:pPr>
        <w:spacing w:after="50"/>
      </w:pPr>
      <w:r>
        <w:rPr>
          <w:b/>
          <w:bCs/>
          <w:color w:val="222831"/>
          <w:sz w:val="18"/>
          <w:szCs w:val="18"/>
        </w:rPr>
        <w:t xml:space="preserve">Frontend:  </w:t>
      </w:r>
      <w:r>
        <w:rPr>
          <w:sz w:val="18"/>
          <w:szCs w:val="18"/>
        </w:rPr>
        <w:t xml:space="preserve">React, Next.js, JavaScript/TypeScript (ES6+), HTML5, CSS3, Tailwind CSS</w:t>
      </w:r>
    </w:p>
    <w:p>
      <w:pPr>
        <w:spacing w:after="50"/>
      </w:pPr>
      <w:r>
        <w:rPr>
          <w:b/>
          <w:bCs/>
          <w:color w:val="222831"/>
          <w:sz w:val="18"/>
          <w:szCs w:val="18"/>
        </w:rPr>
        <w:t xml:space="preserve">Backend:  </w:t>
      </w:r>
      <w:r>
        <w:rPr>
          <w:sz w:val="18"/>
          <w:szCs w:val="18"/>
        </w:rPr>
        <w:t xml:space="preserve">Node.js, Java (Spring Boot), Python, REST APIs, GraphQL, Resend (transactional email)</w:t>
      </w:r>
    </w:p>
    <w:p>
      <w:pPr>
        <w:spacing w:after="50"/>
      </w:pPr>
      <w:r>
        <w:rPr>
          <w:b/>
          <w:bCs/>
          <w:color w:val="222831"/>
          <w:sz w:val="18"/>
          <w:szCs w:val="18"/>
        </w:rPr>
        <w:t xml:space="preserve">Databases:  </w:t>
      </w:r>
      <w:r>
        <w:rPr>
          <w:sz w:val="18"/>
          <w:szCs w:val="18"/>
        </w:rPr>
        <w:t xml:space="preserve">PostgreSQL, MySQL, MongoDB, Redis, RDS, Supabase (managed PostgreSQL, row-level security)</w:t>
      </w:r>
    </w:p>
    <w:p>
      <w:pPr>
        <w:spacing w:after="50"/>
      </w:pPr>
      <w:r>
        <w:rPr>
          <w:b/>
          <w:bCs/>
          <w:color w:val="222831"/>
          <w:sz w:val="18"/>
          <w:szCs w:val="18"/>
        </w:rPr>
        <w:t xml:space="preserve">Testing &amp; Quality:  </w:t>
      </w:r>
      <w:r>
        <w:rPr>
          <w:sz w:val="18"/>
          <w:szCs w:val="18"/>
        </w:rPr>
        <w:t xml:space="preserve">Jest, React Testing Library, Cypress, JUnit, Robot Framework</w:t>
      </w:r>
    </w:p>
    <w:p>
      <w:pPr>
        <w:spacing w:after="50"/>
      </w:pPr>
      <w:r>
        <w:rPr>
          <w:b/>
          <w:bCs/>
          <w:color w:val="222831"/>
          <w:sz w:val="18"/>
          <w:szCs w:val="18"/>
        </w:rPr>
        <w:t xml:space="preserve">Observability:  </w:t>
      </w:r>
      <w:r>
        <w:rPr>
          <w:sz w:val="18"/>
          <w:szCs w:val="18"/>
        </w:rPr>
        <w:t xml:space="preserve">Prometheus, Grafana, Loki, Tempo, OpenTelemetry</w:t>
      </w:r>
    </w:p>
    <w:p>
      <w:pPr>
        <w:spacing w:after="50"/>
      </w:pPr>
      <w:r>
        <w:rPr>
          <w:b/>
          <w:bCs/>
          <w:color w:val="222831"/>
          <w:sz w:val="18"/>
          <w:szCs w:val="18"/>
        </w:rPr>
        <w:t xml:space="preserve">Accessibility:  </w:t>
      </w:r>
      <w:r>
        <w:rPr>
          <w:sz w:val="18"/>
          <w:szCs w:val="18"/>
        </w:rPr>
        <w:t xml:space="preserve">WCAG 2.1 AA, axe-core / jest-axe, Lighthouse CI</w:t>
      </w:r>
    </w:p>
    <w:p>
      <w:pPr>
        <w:spacing w:after="50"/>
      </w:pPr>
      <w:r>
        <w:rPr>
          <w:b/>
          <w:bCs/>
          <w:color w:val="222831"/>
          <w:sz w:val="18"/>
          <w:szCs w:val="18"/>
        </w:rPr>
        <w:t xml:space="preserve">AI/ML:  </w:t>
      </w:r>
      <w:r>
        <w:rPr>
          <w:sz w:val="18"/>
          <w:szCs w:val="18"/>
        </w:rPr>
        <w:t xml:space="preserve">Ollama (LLM integration), ChromaDB, FastAPI, RAG architecture, Model Context Protocol (MCP), LLM-assisted grading and evaluation, human-in-the-loop design, tool and prompt design, privacy-preserving data pipelines</w:t>
      </w:r>
    </w:p>
    <w:p>
      <w:pPr>
        <w:spacing w:after="50"/>
      </w:pPr>
      <w:r>
        <w:rPr>
          <w:b/>
          <w:bCs/>
          <w:color w:val="222831"/>
          <w:sz w:val="18"/>
          <w:szCs w:val="18"/>
        </w:rPr>
        <w:t xml:space="preserve">Real-time / Messaging:  </w:t>
      </w:r>
      <w:r>
        <w:rPr>
          <w:sz w:val="18"/>
          <w:szCs w:val="18"/>
        </w:rPr>
        <w:t xml:space="preserve">DDS (pub/sub across distributed systems), QoS policy tuning</w:t>
      </w:r>
    </w:p>
    <w:p>
      <w:pPr>
        <w:spacing w:after="50"/>
      </w:pPr>
      <w:r>
        <w:rPr>
          <w:b/>
          <w:bCs/>
          <w:color w:val="222831"/>
          <w:sz w:val="18"/>
          <w:szCs w:val="18"/>
        </w:rPr>
        <w:t xml:space="preserve">AI Dev Tools:  </w:t>
      </w:r>
      <w:r>
        <w:rPr>
          <w:sz w:val="18"/>
          <w:szCs w:val="18"/>
        </w:rPr>
        <w:t xml:space="preserve">OpenCode, Codex, Claude Code, Cline</w:t>
      </w:r>
    </w:p>
    <w:p>
      <w:pPr>
        <w:spacing w:after="50"/>
      </w:pPr>
      <w:r>
        <w:rPr>
          <w:b/>
          <w:bCs/>
          <w:color w:val="222831"/>
          <w:sz w:val="18"/>
          <w:szCs w:val="18"/>
        </w:rPr>
        <w:t xml:space="preserve">Teaching &amp; Media:  </w:t>
      </w:r>
      <w:r>
        <w:rPr>
          <w:sz w:val="18"/>
          <w:szCs w:val="18"/>
        </w:rPr>
        <w:t xml:space="preserve">OBS Studio, recorded lectures, screen-recorded tutorials, Canvas LMS</w:t>
      </w:r>
    </w:p>
    <w:p>
      <w:pPr>
        <w:pBdr>
          <w:bottom w:val="single" w:color="D9D3C6" w:sz="6" w:space="2"/>
        </w:pBdr>
        <w:spacing w:after="90" w:before="260"/>
      </w:pPr>
      <w:r>
        <w:rPr>
          <w:b/>
          <w:bCs/>
          <w:color w:val="222831"/>
          <w:spacing w:val="24"/>
          <w:sz w:val="19"/>
          <w:szCs w:val="19"/>
        </w:rPr>
        <w:t xml:space="preserve">CERTIFICATIONS</w:t>
      </w:r>
    </w:p>
    <w:p>
      <w:pPr>
        <w:pStyle w:val="ListParagraph"/>
        <w:numPr>
          <w:ilvl w:val="0"/>
          <w:numId w:val="1"/>
        </w:numPr>
        <w:spacing w:after="50"/>
      </w:pPr>
      <w:r>
        <w:rPr>
          <w:b/>
          <w:bCs/>
          <w:color w:val="222831"/>
          <w:sz w:val="19"/>
          <w:szCs w:val="19"/>
        </w:rPr>
        <w:t xml:space="preserve">AWS Certified Solutions Architect – Associate</w:t>
      </w:r>
      <w:r>
        <w:rPr>
          <w:color w:val="44515F"/>
          <w:sz w:val="17"/>
          <w:szCs w:val="17"/>
        </w:rPr>
        <w:t xml:space="preserve">  Amazon Web Services · Issued Jan 2026</w:t>
      </w:r>
    </w:p>
    <w:p>
      <w:pPr>
        <w:pStyle w:val="ListParagraph"/>
        <w:numPr>
          <w:ilvl w:val="0"/>
          <w:numId w:val="1"/>
        </w:numPr>
        <w:spacing w:after="50"/>
      </w:pPr>
      <w:r>
        <w:rPr>
          <w:b/>
          <w:bCs/>
          <w:color w:val="222831"/>
          <w:sz w:val="19"/>
          <w:szCs w:val="19"/>
        </w:rPr>
        <w:t xml:space="preserve">DevSecOps Technical Accelerator Program (DSO-TAP) – Practitioner, Cohort 3</w:t>
      </w:r>
      <w:r>
        <w:rPr>
          <w:color w:val="44515F"/>
          <w:sz w:val="17"/>
          <w:szCs w:val="17"/>
        </w:rPr>
        <w:t xml:space="preserve">  Lockheed Martin · CI/CD · Cloud · Security · DevOps · Agile · Graduated Jan 2026</w:t>
      </w:r>
    </w:p>
    <w:p>
      <w:pPr>
        <w:pStyle w:val="ListParagraph"/>
        <w:numPr>
          <w:ilvl w:val="0"/>
          <w:numId w:val="1"/>
        </w:numPr>
        <w:spacing w:after="50"/>
      </w:pPr>
      <w:r>
        <w:rPr>
          <w:b/>
          <w:bCs/>
          <w:color w:val="222831"/>
          <w:sz w:val="19"/>
          <w:szCs w:val="19"/>
        </w:rPr>
        <w:t xml:space="preserve">DAWIA Acquisition Professional — Systems Engineering (Levels I, II, III)</w:t>
      </w:r>
      <w:r>
        <w:rPr>
          <w:color w:val="44515F"/>
          <w:sz w:val="17"/>
          <w:szCs w:val="17"/>
        </w:rPr>
        <w:t xml:space="preserve">  U.S. Army</w:t>
      </w:r>
    </w:p>
    <w:p>
      <w:pPr>
        <w:pStyle w:val="ListParagraph"/>
        <w:numPr>
          <w:ilvl w:val="0"/>
          <w:numId w:val="1"/>
        </w:numPr>
        <w:spacing w:after="50"/>
      </w:pPr>
      <w:r>
        <w:rPr>
          <w:b/>
          <w:bCs/>
          <w:color w:val="222831"/>
          <w:sz w:val="19"/>
          <w:szCs w:val="19"/>
        </w:rPr>
        <w:t xml:space="preserve">Active Secret U.S. Security Clearance</w:t>
      </w:r>
      <w:r>
        <w:rPr>
          <w:color w:val="44515F"/>
          <w:sz w:val="17"/>
          <w:szCs w:val="17"/>
        </w:rPr>
        <w:t xml:space="preserve">  U.S. Department of Defense</w:t>
      </w:r>
    </w:p>
    <w:p>
      <w:pPr>
        <w:pBdr>
          <w:bottom w:val="single" w:color="D9D3C6" w:sz="6" w:space="2"/>
        </w:pBdr>
        <w:spacing w:after="90" w:before="260"/>
      </w:pPr>
      <w:r>
        <w:rPr>
          <w:b/>
          <w:bCs/>
          <w:color w:val="222831"/>
          <w:spacing w:val="24"/>
          <w:sz w:val="19"/>
          <w:szCs w:val="19"/>
        </w:rPr>
        <w:t xml:space="preserve">EDUCATION</w:t>
      </w:r>
    </w:p>
    <w:p>
      <w:pPr>
        <w:pStyle w:val="ListParagraph"/>
        <w:numPr>
          <w:ilvl w:val="0"/>
          <w:numId w:val="1"/>
        </w:numPr>
        <w:spacing w:after="50"/>
      </w:pPr>
      <w:r>
        <w:rPr>
          <w:b/>
          <w:bCs/>
          <w:color w:val="222831"/>
          <w:sz w:val="19"/>
          <w:szCs w:val="19"/>
        </w:rPr>
        <w:t xml:space="preserve">Ph.D. Electrical Engineering — Computer Vision &amp; Machine Learning</w:t>
      </w:r>
      <w:r>
        <w:rPr>
          <w:color w:val="44515F"/>
          <w:sz w:val="17"/>
          <w:szCs w:val="17"/>
        </w:rPr>
        <w:t xml:space="preserve">  Drexel University · In progress (~2026–2027)</w:t>
      </w:r>
    </w:p>
    <w:p>
      <w:pPr>
        <w:pStyle w:val="ListParagraph"/>
        <w:numPr>
          <w:ilvl w:val="0"/>
          <w:numId w:val="1"/>
        </w:numPr>
        <w:spacing w:after="50"/>
      </w:pPr>
      <w:r>
        <w:rPr>
          <w:b/>
          <w:bCs/>
          <w:color w:val="222831"/>
          <w:sz w:val="19"/>
          <w:szCs w:val="19"/>
        </w:rPr>
        <w:t xml:space="preserve">M.S. Electrical Engineering — Controls &amp; Digital Signal Processing</w:t>
      </w:r>
      <w:r>
        <w:rPr>
          <w:color w:val="44515F"/>
          <w:sz w:val="17"/>
          <w:szCs w:val="17"/>
        </w:rPr>
        <w:t xml:space="preserve">  Drexel University · 2016</w:t>
      </w:r>
    </w:p>
    <w:p>
      <w:pPr>
        <w:pStyle w:val="ListParagraph"/>
        <w:numPr>
          <w:ilvl w:val="0"/>
          <w:numId w:val="1"/>
        </w:numPr>
        <w:spacing w:after="50"/>
      </w:pPr>
      <w:r>
        <w:rPr>
          <w:b/>
          <w:bCs/>
          <w:color w:val="222831"/>
          <w:sz w:val="19"/>
          <w:szCs w:val="19"/>
        </w:rPr>
        <w:t xml:space="preserve">M.S. Mechanical Engineering — Dynamics &amp; Robust Controls</w:t>
      </w:r>
      <w:r>
        <w:rPr>
          <w:color w:val="44515F"/>
          <w:sz w:val="17"/>
          <w:szCs w:val="17"/>
        </w:rPr>
        <w:t xml:space="preserve">  Drexel University · 2009</w:t>
      </w:r>
    </w:p>
    <w:p>
      <w:pPr>
        <w:pStyle w:val="ListParagraph"/>
        <w:numPr>
          <w:ilvl w:val="0"/>
          <w:numId w:val="1"/>
        </w:numPr>
        <w:spacing w:after="50"/>
      </w:pPr>
      <w:r>
        <w:rPr>
          <w:b/>
          <w:bCs/>
          <w:color w:val="222831"/>
          <w:sz w:val="19"/>
          <w:szCs w:val="19"/>
        </w:rPr>
        <w:t xml:space="preserve">B.S. Electrical Engineering — Electronics &amp; Controls</w:t>
      </w:r>
      <w:r>
        <w:rPr>
          <w:color w:val="44515F"/>
          <w:sz w:val="17"/>
          <w:szCs w:val="17"/>
        </w:rPr>
        <w:t xml:space="preserve">  Drexel University · 2006</w:t>
      </w:r>
    </w:p>
    <w:p>
      <w:pPr>
        <w:pBdr>
          <w:bottom w:val="single" w:color="D9D3C6" w:sz="6" w:space="2"/>
        </w:pBdr>
        <w:spacing w:after="90" w:before="260"/>
      </w:pPr>
      <w:r>
        <w:rPr>
          <w:b/>
          <w:bCs/>
          <w:color w:val="222831"/>
          <w:spacing w:val="24"/>
          <w:sz w:val="19"/>
          <w:szCs w:val="19"/>
        </w:rPr>
        <w:t xml:space="preserve">PUBLICATIONS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19"/>
          <w:szCs w:val="19"/>
        </w:rPr>
        <w:t xml:space="preserve">Pelleg, B., Steinhauser, C., Pullen, M., Linden, J., &amp; Fontecchio, A. “Electrically switchable electro-optic filters for spectral line emission detection.” Applied Optics 60, 1059–1067 (2021). https://opg.optica.org/abstract.cfm?uri=ao-60-4-1059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19"/>
          <w:szCs w:val="19"/>
        </w:rPr>
        <w:t xml:space="preserve">Pullen, M. N., &amp; Fontecchio, A. K. “Bio-inspired visual sensing enhances imaging techniques using integrated electro-optical switchable filters.” SPIE Vol. 10895 (2019). https://www.spiedigitallibrary.org/conference-proceedings-of-spie/10895/1089512/Bio-inspired-visual-sensing-enhances-imaging-techniques-using-integrated-electro/10.1117/12.2521682.short</w:t>
      </w:r>
    </w:p>
    <w:p>
      <w:pPr>
        <w:pBdr>
          <w:bottom w:val="single" w:color="D9D3C6" w:sz="6" w:space="2"/>
        </w:pBdr>
        <w:spacing w:after="90" w:before="260"/>
      </w:pPr>
      <w:r>
        <w:rPr>
          <w:b/>
          <w:bCs/>
          <w:color w:val="222831"/>
          <w:spacing w:val="24"/>
          <w:sz w:val="19"/>
          <w:szCs w:val="19"/>
        </w:rPr>
        <w:t xml:space="preserve">HONORS, AWARDS &amp; FUNDING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19"/>
          <w:szCs w:val="19"/>
        </w:rPr>
        <w:t xml:space="preserve">ILIR (2020) — Spectral Signature Beacon Navigation, $100K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19"/>
          <w:szCs w:val="19"/>
        </w:rPr>
        <w:t xml:space="preserve">Milton Shaw Fellowship (2019–2020) https://drexel.edu/engineering/news-events/news/archive/2020/January/ece-grad-student-awards/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19"/>
          <w:szCs w:val="19"/>
        </w:rPr>
        <w:t xml:space="preserve">ILIR (2018) — H-PDLC Bio-inspired Vision Navigation, $130K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19"/>
          <w:szCs w:val="19"/>
        </w:rPr>
        <w:t xml:space="preserve">ExPERTS Fellowship — Experiential Practices in Education Research and Teaching in STEM, Drexel CASTLE (2017–2018) https://drexel.edu/castle/initiatives/experts/</w:t>
      </w:r>
    </w:p>
    <w:p>
      <w:pPr>
        <w:spacing w:before="260"/>
        <w:jc w:val="center"/>
      </w:pPr>
      <w:r>
        <w:rPr>
          <w:color w:val="44515F"/>
          <w:sz w:val="15"/>
          <w:szCs w:val="15"/>
        </w:rPr>
        <w:t xml:space="preserve">Full resume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2303F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Calibri" w:cs="Calibri" w:eastAsia="Calibri" w:hAnsi="Calibri"/>
      <w:b/>
      <w:bCs/>
      <w:color w:val="222831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Marquise Pullen — Resume</dc:title>
  <dc:creator>Marquise Pullen</dc:creator>
  <dc:description>Full resume</dc:description>
  <cp:lastModifiedBy>Un-named</cp:lastModifiedBy>
  <cp:revision>1</cp:revision>
  <dcterms:created xsi:type="dcterms:W3CDTF">2026-11-02T02:34:02.740Z</dcterms:created>
  <dcterms:modified xsi:type="dcterms:W3CDTF">2026-11-02T02:34:02.740Z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